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5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3"/>
        <w:gridCol w:w="1602"/>
        <w:gridCol w:w="3003"/>
        <w:gridCol w:w="2940"/>
        <w:gridCol w:w="3660"/>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325" w:type="dxa"/>
            <w:gridSpan w:val="2"/>
            <w:tcBorders>
              <w:top w:val="nil"/>
              <w:left w:val="nil"/>
              <w:bottom w:val="nil"/>
              <w:right w:val="nil"/>
            </w:tcBorders>
            <w:noWrap/>
            <w:vAlign w:val="center"/>
          </w:tcPr>
          <w:p>
            <w:pPr>
              <w:jc w:val="both"/>
              <w:rPr>
                <w:rFonts w:hint="default" w:ascii="Times New Roman" w:hAnsi="Times New Roman" w:eastAsia="宋体" w:cs="Times New Roman"/>
                <w:i w:val="0"/>
                <w:iCs w:val="0"/>
                <w:color w:val="000000"/>
                <w:sz w:val="24"/>
                <w:szCs w:val="24"/>
                <w:u w:val="none"/>
              </w:rPr>
            </w:pPr>
            <w:r>
              <w:rPr>
                <w:rFonts w:hint="eastAsia" w:ascii="Times New Roman" w:hAnsi="Times New Roman" w:cs="Times New Roman"/>
                <w:b/>
                <w:bCs/>
                <w:i w:val="0"/>
                <w:iCs w:val="0"/>
                <w:color w:val="000000"/>
                <w:sz w:val="28"/>
                <w:szCs w:val="28"/>
                <w:u w:val="none"/>
                <w:lang w:eastAsia="zh-CN"/>
              </w:rPr>
              <w:t>附件</w:t>
            </w:r>
          </w:p>
        </w:tc>
        <w:tc>
          <w:tcPr>
            <w:tcW w:w="3003" w:type="dxa"/>
            <w:tcBorders>
              <w:top w:val="nil"/>
              <w:left w:val="nil"/>
              <w:bottom w:val="nil"/>
              <w:right w:val="nil"/>
            </w:tcBorders>
            <w:noWrap/>
            <w:vAlign w:val="center"/>
          </w:tcPr>
          <w:p>
            <w:pPr>
              <w:jc w:val="left"/>
              <w:rPr>
                <w:rFonts w:hint="default" w:ascii="Times New Roman" w:hAnsi="Times New Roman" w:eastAsia="宋体" w:cs="Times New Roman"/>
                <w:i w:val="0"/>
                <w:iCs w:val="0"/>
                <w:color w:val="000000"/>
                <w:sz w:val="24"/>
                <w:szCs w:val="24"/>
                <w:u w:val="none"/>
              </w:rPr>
            </w:pPr>
          </w:p>
        </w:tc>
        <w:tc>
          <w:tcPr>
            <w:tcW w:w="2940" w:type="dxa"/>
            <w:tcBorders>
              <w:top w:val="nil"/>
              <w:left w:val="nil"/>
              <w:bottom w:val="nil"/>
              <w:right w:val="nil"/>
            </w:tcBorders>
            <w:noWrap/>
            <w:vAlign w:val="center"/>
          </w:tcPr>
          <w:p>
            <w:pPr>
              <w:jc w:val="left"/>
              <w:rPr>
                <w:rFonts w:hint="default" w:ascii="Times New Roman" w:hAnsi="Times New Roman" w:eastAsia="宋体" w:cs="Times New Roman"/>
                <w:i w:val="0"/>
                <w:iCs w:val="0"/>
                <w:color w:val="000000"/>
                <w:sz w:val="24"/>
                <w:szCs w:val="24"/>
                <w:u w:val="none"/>
              </w:rPr>
            </w:pPr>
          </w:p>
        </w:tc>
        <w:tc>
          <w:tcPr>
            <w:tcW w:w="3660" w:type="dxa"/>
            <w:tcBorders>
              <w:top w:val="nil"/>
              <w:left w:val="nil"/>
              <w:bottom w:val="nil"/>
              <w:right w:val="nil"/>
            </w:tcBorders>
            <w:noWrap/>
            <w:vAlign w:val="center"/>
          </w:tcPr>
          <w:p>
            <w:pPr>
              <w:jc w:val="left"/>
              <w:rPr>
                <w:rFonts w:hint="default" w:ascii="Times New Roman" w:hAnsi="Times New Roman" w:eastAsia="宋体" w:cs="Times New Roman"/>
                <w:i w:val="0"/>
                <w:iCs w:val="0"/>
                <w:color w:val="000000"/>
                <w:sz w:val="24"/>
                <w:szCs w:val="24"/>
                <w:u w:val="none"/>
              </w:rPr>
            </w:pPr>
          </w:p>
        </w:tc>
        <w:tc>
          <w:tcPr>
            <w:tcW w:w="2655" w:type="dxa"/>
            <w:tcBorders>
              <w:top w:val="nil"/>
              <w:left w:val="nil"/>
              <w:bottom w:val="nil"/>
              <w:right w:val="nil"/>
            </w:tcBorders>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14583" w:type="dxa"/>
            <w:gridSpan w:val="6"/>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bookmarkStart w:id="0" w:name="_GoBack"/>
            <w:r>
              <w:rPr>
                <w:rFonts w:hint="eastAsia" w:ascii="方正小标宋简体" w:hAnsi="方正小标宋简体" w:eastAsia="方正小标宋简体" w:cs="方正小标宋简体"/>
                <w:i w:val="0"/>
                <w:iCs w:val="0"/>
                <w:color w:val="000000"/>
                <w:kern w:val="0"/>
                <w:sz w:val="40"/>
                <w:szCs w:val="40"/>
                <w:u w:val="none"/>
                <w:lang w:val="en-US" w:eastAsia="zh-CN" w:bidi="ar"/>
              </w:rPr>
              <w:t>建湖县涉批中介服务事项清单（</w:t>
            </w:r>
            <w:r>
              <w:rPr>
                <w:rFonts w:hint="default" w:ascii="Times New Roman" w:hAnsi="Times New Roman" w:eastAsia="方正小标宋简体" w:cs="Times New Roman"/>
                <w:i w:val="0"/>
                <w:iCs w:val="0"/>
                <w:color w:val="000000"/>
                <w:kern w:val="0"/>
                <w:sz w:val="40"/>
                <w:szCs w:val="40"/>
                <w:u w:val="none"/>
                <w:lang w:val="en-US" w:eastAsia="zh-CN" w:bidi="ar"/>
              </w:rPr>
              <w:t>2020</w:t>
            </w:r>
            <w:r>
              <w:rPr>
                <w:rStyle w:val="8"/>
                <w:lang w:val="en-US" w:eastAsia="zh-CN" w:bidi="ar"/>
              </w:rPr>
              <w:t>年）</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723" w:type="dxa"/>
            <w:tcBorders>
              <w:top w:val="nil"/>
              <w:left w:val="nil"/>
              <w:bottom w:val="nil"/>
              <w:right w:val="nil"/>
            </w:tcBorders>
            <w:noWrap/>
            <w:vAlign w:val="center"/>
          </w:tcPr>
          <w:p>
            <w:pPr>
              <w:jc w:val="center"/>
              <w:rPr>
                <w:rFonts w:hint="default" w:ascii="Times New Roman" w:hAnsi="Times New Roman" w:eastAsia="宋体" w:cs="Times New Roman"/>
                <w:i w:val="0"/>
                <w:iCs w:val="0"/>
                <w:color w:val="000000"/>
                <w:sz w:val="40"/>
                <w:szCs w:val="40"/>
                <w:u w:val="none"/>
              </w:rPr>
            </w:pPr>
          </w:p>
        </w:tc>
        <w:tc>
          <w:tcPr>
            <w:tcW w:w="1602" w:type="dxa"/>
            <w:tcBorders>
              <w:top w:val="nil"/>
              <w:left w:val="nil"/>
              <w:bottom w:val="nil"/>
              <w:right w:val="nil"/>
            </w:tcBorders>
            <w:noWrap/>
            <w:vAlign w:val="center"/>
          </w:tcPr>
          <w:p>
            <w:pPr>
              <w:jc w:val="center"/>
              <w:rPr>
                <w:rFonts w:hint="default" w:ascii="Times New Roman" w:hAnsi="Times New Roman" w:eastAsia="宋体" w:cs="Times New Roman"/>
                <w:i w:val="0"/>
                <w:iCs w:val="0"/>
                <w:color w:val="000000"/>
                <w:sz w:val="40"/>
                <w:szCs w:val="40"/>
                <w:u w:val="none"/>
              </w:rPr>
            </w:pPr>
          </w:p>
        </w:tc>
        <w:tc>
          <w:tcPr>
            <w:tcW w:w="3003" w:type="dxa"/>
            <w:tcBorders>
              <w:top w:val="nil"/>
              <w:left w:val="nil"/>
              <w:bottom w:val="nil"/>
              <w:right w:val="nil"/>
            </w:tcBorders>
            <w:noWrap/>
            <w:vAlign w:val="center"/>
          </w:tcPr>
          <w:p>
            <w:pPr>
              <w:jc w:val="left"/>
              <w:rPr>
                <w:rFonts w:hint="default" w:ascii="Times New Roman" w:hAnsi="Times New Roman" w:eastAsia="宋体" w:cs="Times New Roman"/>
                <w:i w:val="0"/>
                <w:iCs w:val="0"/>
                <w:color w:val="000000"/>
                <w:sz w:val="40"/>
                <w:szCs w:val="40"/>
                <w:u w:val="none"/>
              </w:rPr>
            </w:pPr>
          </w:p>
        </w:tc>
        <w:tc>
          <w:tcPr>
            <w:tcW w:w="2940" w:type="dxa"/>
            <w:tcBorders>
              <w:top w:val="nil"/>
              <w:left w:val="nil"/>
              <w:bottom w:val="nil"/>
              <w:right w:val="nil"/>
            </w:tcBorders>
            <w:noWrap/>
            <w:vAlign w:val="center"/>
          </w:tcPr>
          <w:p>
            <w:pPr>
              <w:jc w:val="left"/>
              <w:rPr>
                <w:rFonts w:hint="default" w:ascii="Times New Roman" w:hAnsi="Times New Roman" w:eastAsia="宋体" w:cs="Times New Roman"/>
                <w:i w:val="0"/>
                <w:iCs w:val="0"/>
                <w:color w:val="000000"/>
                <w:sz w:val="40"/>
                <w:szCs w:val="40"/>
                <w:u w:val="none"/>
              </w:rPr>
            </w:pPr>
          </w:p>
        </w:tc>
        <w:tc>
          <w:tcPr>
            <w:tcW w:w="3660" w:type="dxa"/>
            <w:tcBorders>
              <w:top w:val="nil"/>
              <w:left w:val="nil"/>
              <w:bottom w:val="nil"/>
              <w:right w:val="nil"/>
            </w:tcBorders>
            <w:noWrap/>
            <w:vAlign w:val="center"/>
          </w:tcPr>
          <w:p>
            <w:pPr>
              <w:jc w:val="left"/>
              <w:rPr>
                <w:rFonts w:hint="default" w:ascii="Times New Roman" w:hAnsi="Times New Roman" w:eastAsia="宋体" w:cs="Times New Roman"/>
                <w:i w:val="0"/>
                <w:iCs w:val="0"/>
                <w:color w:val="000000"/>
                <w:sz w:val="40"/>
                <w:szCs w:val="40"/>
                <w:u w:val="none"/>
              </w:rPr>
            </w:pPr>
          </w:p>
        </w:tc>
        <w:tc>
          <w:tcPr>
            <w:tcW w:w="2655" w:type="dxa"/>
            <w:tcBorders>
              <w:top w:val="nil"/>
              <w:left w:val="nil"/>
              <w:bottom w:val="nil"/>
              <w:right w:val="nil"/>
            </w:tcBorders>
            <w:noWrap/>
            <w:vAlign w:val="center"/>
          </w:tcPr>
          <w:p>
            <w:pPr>
              <w:jc w:val="left"/>
              <w:rPr>
                <w:rFonts w:hint="eastAsia" w:ascii="方正小标宋简体" w:hAnsi="方正小标宋简体" w:eastAsia="方正小标宋简体" w:cs="方正小标宋简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4"/>
                <w:szCs w:val="24"/>
                <w:u w:val="none"/>
                <w:lang w:eastAsia="zh-CN"/>
              </w:rPr>
            </w:pPr>
            <w:r>
              <w:rPr>
                <w:rStyle w:val="9"/>
                <w:rFonts w:hint="eastAsia"/>
                <w:i w:val="0"/>
                <w:iCs w:val="0"/>
                <w:lang w:val="en-US" w:eastAsia="zh-CN" w:bidi="ar"/>
              </w:rPr>
              <w:t>序号</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9"/>
                <w:lang w:val="en-US" w:eastAsia="zh-CN" w:bidi="ar"/>
              </w:rPr>
              <w:t>主管部门</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9"/>
                <w:lang w:val="en-US" w:eastAsia="zh-CN" w:bidi="ar"/>
              </w:rPr>
              <w:t>审批事项</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审批流程涉及中介服务项</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9"/>
                <w:lang w:val="en-US" w:eastAsia="zh-CN" w:bidi="ar"/>
              </w:rPr>
              <w:t>中介服务范围</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6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县行政审批局</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建筑工程施工许可证的发放</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施工图设计文件审查机构出具的审查合格书</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房屋建筑及其附属设施的建造、装修装饰和与其配套的线路、管道、设备的安装，以及城镇市政基础设施工程</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企业、事业单位、社会团体等投资建设的固定资产投资项目核准（含技改）</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项目申请报告（含社会稳定风险评估报告和节能评估报告）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企业、事业单位、社会团体等投资建设的固定资产投资核准类项目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政府投资建设的固定资产投资项目</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项目建议书、可研报告（含社会稳定风险评估报告和节能评估报告）、初步设计报告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使用财政性资金投资的项目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固定资产投资项目节能评估和审查（含技改）</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节能报告、节能评审意见</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年综合能源消费量</w:t>
            </w:r>
            <w:r>
              <w:rPr>
                <w:rFonts w:hint="default" w:ascii="Times New Roman" w:hAnsi="Times New Roman" w:eastAsia="宋体" w:cs="Times New Roman"/>
                <w:i w:val="0"/>
                <w:iCs w:val="0"/>
                <w:color w:val="000000"/>
                <w:kern w:val="0"/>
                <w:sz w:val="22"/>
                <w:szCs w:val="22"/>
                <w:u w:val="none"/>
                <w:lang w:val="en-US" w:eastAsia="zh-CN" w:bidi="ar"/>
              </w:rPr>
              <w:t>1000</w:t>
            </w:r>
            <w:r>
              <w:rPr>
                <w:rStyle w:val="10"/>
                <w:rFonts w:ascii="宋体" w:hAnsi="宋体" w:eastAsia="宋体" w:cs="宋体"/>
                <w:sz w:val="24"/>
                <w:szCs w:val="24"/>
                <w:lang w:val="en-US" w:eastAsia="zh-CN" w:bidi="ar"/>
              </w:rPr>
              <w:t>吨标准煤或年电力消费量</w:t>
            </w:r>
            <w:r>
              <w:rPr>
                <w:rFonts w:hint="default" w:ascii="Times New Roman" w:hAnsi="Times New Roman" w:eastAsia="宋体" w:cs="Times New Roman"/>
                <w:i w:val="0"/>
                <w:iCs w:val="0"/>
                <w:color w:val="000000"/>
                <w:kern w:val="0"/>
                <w:sz w:val="22"/>
                <w:szCs w:val="22"/>
                <w:u w:val="none"/>
                <w:lang w:val="en-US" w:eastAsia="zh-CN" w:bidi="ar"/>
              </w:rPr>
              <w:t>500</w:t>
            </w:r>
            <w:r>
              <w:rPr>
                <w:rStyle w:val="10"/>
                <w:rFonts w:ascii="宋体" w:hAnsi="宋体" w:eastAsia="宋体" w:cs="宋体"/>
                <w:sz w:val="24"/>
                <w:szCs w:val="24"/>
                <w:lang w:val="en-US" w:eastAsia="zh-CN" w:bidi="ar"/>
              </w:rPr>
              <w:t>万千瓦时以上的新建及技改项目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公共场所卫生许可</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公众场所卫生检测或评价</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公共场所许可项目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集中空调通风系统卫生检测或评价</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使用集中空调的公众场所许可项目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16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县行政审批局</w:t>
            </w:r>
          </w:p>
        </w:tc>
        <w:tc>
          <w:tcPr>
            <w:tcW w:w="30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基金会设立登记</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验资报告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新成立登记</w:t>
            </w:r>
          </w:p>
        </w:tc>
        <w:tc>
          <w:tcPr>
            <w:tcW w:w="26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县级材料初审，报市级部门审批后县级备案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离任审计报告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法定代表人变更</w:t>
            </w:r>
          </w:p>
        </w:tc>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清算审计报告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注销登记</w:t>
            </w:r>
          </w:p>
        </w:tc>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房屋建筑工程和市政基础设施工程竣工验收备案</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工程监理、工程质量检测（市政基础设施的有关质量检测和功能性试验）</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工程监理适用范围：所有竣工验收备案项目；工程质量检测适用范围：市政基础设施</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我县不涉及市政工程竣工验收备案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取水许可审批</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建设项目水资源论证报告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需要申请或者重新申请取水许可证的新建、改建、扩建的建设项目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该服务事项已放开，不强制由中介机构完成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16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w:t>
            </w:r>
            <w:r>
              <w:rPr>
                <w:rStyle w:val="11"/>
                <w:rFonts w:eastAsia="宋体"/>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和规划局</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建设用地供地审查</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土地勘测定界报告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该服务事项由政府购买服务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不动产登记</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不动产测绘</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首次登记，界址、面积等变更登记、商品房预告登记</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工业用地首次登记涉及的土地测绘服务由政府购买服务，商品房预告登记由房产服务中心承担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土地出让挂牌价审定</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土地估价</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出让土地建设项目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该服务事项由政府购买服务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160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w:t>
            </w:r>
            <w:r>
              <w:rPr>
                <w:rStyle w:val="11"/>
                <w:rFonts w:eastAsia="宋体"/>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和规划局</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临时占用林地许可</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使用林地可行性研究报告或者使用林地现状调查报告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申请临时占用林地的项目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该服务事项已放开，不强制由中介机构完成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160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建设工程规划许可证的核发</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修建性详细规划方案编制及建设工程设计方案的编制</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160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建设工程建筑施工图设计</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160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规划条件和规划许可内容的核实</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竣工测绘</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所有项目</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19</w:t>
            </w:r>
          </w:p>
        </w:tc>
        <w:tc>
          <w:tcPr>
            <w:tcW w:w="16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县生态环境局</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建设项目环境影响评价文件审批</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建设项目环境影响评价文件</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该服务事项已放开，不强制由第三方编制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入河排污口审批（江河、湖泊新建、改建或者扩大排污口设置审批）</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入河排污口设置论证报告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在江河、湖泊新建、改建或者扩大排污口等涉排污项目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该服务事项已放开，不强制由第三方编制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县住房和城乡建设局</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消防验收</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消防设施检测报告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设有自动消防设施的建设工程</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w:t>
            </w:r>
          </w:p>
        </w:tc>
        <w:tc>
          <w:tcPr>
            <w:tcW w:w="16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水工程建设规划同意书审查</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水工程建设规划同意书论证报告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在江河、湖泊上新建、扩建以及改建并调整原有功能的水工程</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该服务事项已放开，不强制由中介机构完成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23</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河道管理范围内工程建设方案及位置、界限审批</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防洪评价报告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河道、堤防、水利工程管理范围内新建、扩建、改建的涉河生产建设项目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该服务事项已放开，不强制由中介机构完成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堤顶或者戗台兼做公路审批</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防洪评价报告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利用堤顶或者戗台兼做公路的建设项目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该服务事项已放开，不强制由中介机构完成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河道（除长江）采砂、取土、淘金、弃置砂石或者淤泥，从事相关活动审批</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防洪评价报告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河道内采砂、取土、淘金、弃置砂石或者淤泥等从事有关活动项目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该服务事项已放开，不强制由中介机构完成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26</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生产建设项目水土保持方案审批</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建设项目水土保持方案报告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在水土流失重点预防区、重点治理区和水土保持规划确定的容易发生水土流失的其他区域开办基础设施建设、矿产资源开发、城镇建设、房地产开发、旅游开发等生产建设项目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该服务事项已放开，不强制由中介机构完成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27</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占用农业灌溉水源、灌排工程设施审批</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占用农业灌溉水源、灌排工程设施专题论证报告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占用农业灌溉水源、灌排工程设施的各项建设项目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该服务事项已放开，不强制由中介机构完成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w:t>
            </w:r>
          </w:p>
        </w:tc>
        <w:tc>
          <w:tcPr>
            <w:tcW w:w="160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县应急管理局</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危险化学品建设项目安全条件审查</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建设项目安全评价报告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危险化学品建设项目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29</w:t>
            </w:r>
          </w:p>
        </w:tc>
        <w:tc>
          <w:tcPr>
            <w:tcW w:w="160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危险化学品建设项目安全条件安全设施设计审查</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建设项目安全设施设计专篇</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危险化学品建设项目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160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烟花爆竹批发企业建设项目安全设施设计审查</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建设项目安全设施设计专篇</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烟花爆竹批发企业建设项目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w:t>
            </w:r>
          </w:p>
        </w:tc>
        <w:tc>
          <w:tcPr>
            <w:tcW w:w="160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县卫健委</w:t>
            </w:r>
          </w:p>
        </w:tc>
        <w:tc>
          <w:tcPr>
            <w:tcW w:w="30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放射诊疗许可</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放射诊疗设备防护性能检测</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放射诊疗设备使用单位</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w:t>
            </w:r>
          </w:p>
        </w:tc>
        <w:tc>
          <w:tcPr>
            <w:tcW w:w="160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c>
          <w:tcPr>
            <w:tcW w:w="3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放射性职业病危害预评价</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放射诊疗许可项目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w:t>
            </w:r>
          </w:p>
        </w:tc>
        <w:tc>
          <w:tcPr>
            <w:tcW w:w="160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c>
          <w:tcPr>
            <w:tcW w:w="3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放射性职业病危害控制效果评价</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放射诊疗许可项目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w:t>
            </w:r>
          </w:p>
        </w:tc>
        <w:tc>
          <w:tcPr>
            <w:tcW w:w="16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县民政局</w:t>
            </w:r>
          </w:p>
        </w:tc>
        <w:tc>
          <w:tcPr>
            <w:tcW w:w="30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社会团体（含慈善组织）成立登记</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验资报告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新成立登记</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离任审计报告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法定代表人变更</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36</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清算审计报告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注销登记</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37</w:t>
            </w:r>
          </w:p>
        </w:tc>
        <w:tc>
          <w:tcPr>
            <w:tcW w:w="16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县民政局</w:t>
            </w:r>
          </w:p>
        </w:tc>
        <w:tc>
          <w:tcPr>
            <w:tcW w:w="30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民办非企业单位（含慈善组织）成立登记</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验资报告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新成立登记</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38</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离任审计报告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法定代表人变更</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39</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清算审计报告</w:t>
            </w:r>
          </w:p>
        </w:tc>
        <w:tc>
          <w:tcPr>
            <w:tcW w:w="3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注销登记</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40</w:t>
            </w:r>
          </w:p>
        </w:tc>
        <w:tc>
          <w:tcPr>
            <w:tcW w:w="16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县气象局</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雷电防护装置设计审核行政许可</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雷电防护装置设计技术评价</w:t>
            </w:r>
          </w:p>
        </w:tc>
        <w:tc>
          <w:tcPr>
            <w:tcW w:w="3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油库、气库、弹药库、化学品仓库、民用爆炸物品、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该服务事项由政府购买服务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w:t>
            </w: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雷电防护装置竣工验收行政许可</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ascii="宋体" w:hAnsi="宋体" w:eastAsia="宋体" w:cs="宋体"/>
                <w:sz w:val="24"/>
                <w:szCs w:val="24"/>
                <w:lang w:val="en-US" w:eastAsia="zh-CN" w:bidi="ar"/>
              </w:rPr>
              <w:t>雷电防护装置竣工检测</w:t>
            </w:r>
          </w:p>
        </w:tc>
        <w:tc>
          <w:tcPr>
            <w:tcW w:w="3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该服务事项由政府购买服务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NzkwNjI0Zjk3OWJjNTE4ZTU5ODdjZWQ5YTcwNmEifQ=="/>
  </w:docVars>
  <w:rsids>
    <w:rsidRoot w:val="1645373E"/>
    <w:rsid w:val="0461758A"/>
    <w:rsid w:val="1645373E"/>
    <w:rsid w:val="16802B25"/>
    <w:rsid w:val="1A940B39"/>
    <w:rsid w:val="228B2013"/>
    <w:rsid w:val="43675A2C"/>
    <w:rsid w:val="4AA31385"/>
    <w:rsid w:val="5545369D"/>
    <w:rsid w:val="64D85618"/>
    <w:rsid w:val="69303AFB"/>
    <w:rsid w:val="72B77A21"/>
    <w:rsid w:val="781D30C9"/>
    <w:rsid w:val="7ED14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100" w:afterLines="100" w:afterAutospacing="0" w:line="240" w:lineRule="auto"/>
      <w:ind w:firstLine="0" w:firstLineChars="0"/>
      <w:outlineLvl w:val="0"/>
    </w:pPr>
    <w:rPr>
      <w:rFonts w:eastAsia="方正小标宋简体"/>
      <w:kern w:val="44"/>
      <w:sz w:val="44"/>
    </w:rPr>
  </w:style>
  <w:style w:type="paragraph" w:styleId="3">
    <w:name w:val="heading 2"/>
    <w:basedOn w:val="1"/>
    <w:next w:val="1"/>
    <w:semiHidden/>
    <w:unhideWhenUsed/>
    <w:qFormat/>
    <w:uiPriority w:val="0"/>
    <w:pPr>
      <w:keepNext/>
      <w:keepLines/>
      <w:spacing w:beforeLines="0" w:beforeAutospacing="0" w:afterLines="0" w:afterAutospacing="0" w:line="576" w:lineRule="exact"/>
      <w:ind w:firstLine="420" w:firstLineChars="200"/>
      <w:outlineLvl w:val="1"/>
    </w:pPr>
    <w:rPr>
      <w:rFonts w:ascii="Arial" w:hAnsi="Arial" w:eastAsia="方正黑体_GBK"/>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99"/>
    <w:pPr>
      <w:tabs>
        <w:tab w:val="center" w:pos="4153"/>
        <w:tab w:val="right" w:pos="8306"/>
      </w:tabs>
      <w:snapToGrid w:val="0"/>
      <w:jc w:val="left"/>
    </w:pPr>
    <w:rPr>
      <w:kern w:val="0"/>
      <w:sz w:val="18"/>
      <w:szCs w:val="18"/>
    </w:rPr>
  </w:style>
  <w:style w:type="paragraph" w:styleId="5">
    <w:name w:val="header"/>
    <w:basedOn w:val="1"/>
    <w:semiHidden/>
    <w:uiPriority w:val="99"/>
    <w:pPr>
      <w:pBdr>
        <w:bottom w:val="single" w:color="auto" w:sz="6" w:space="1"/>
      </w:pBdr>
      <w:tabs>
        <w:tab w:val="center" w:pos="4153"/>
        <w:tab w:val="right" w:pos="8306"/>
      </w:tabs>
      <w:snapToGrid w:val="0"/>
      <w:jc w:val="center"/>
    </w:pPr>
    <w:rPr>
      <w:kern w:val="0"/>
      <w:sz w:val="18"/>
      <w:szCs w:val="18"/>
    </w:rPr>
  </w:style>
  <w:style w:type="character" w:customStyle="1" w:styleId="8">
    <w:name w:val="font51"/>
    <w:basedOn w:val="7"/>
    <w:uiPriority w:val="0"/>
    <w:rPr>
      <w:rFonts w:hint="eastAsia" w:ascii="方正小标宋简体" w:hAnsi="方正小标宋简体" w:eastAsia="方正小标宋简体" w:cs="方正小标宋简体"/>
      <w:color w:val="000000"/>
      <w:sz w:val="40"/>
      <w:szCs w:val="40"/>
      <w:u w:val="none"/>
    </w:rPr>
  </w:style>
  <w:style w:type="character" w:customStyle="1" w:styleId="9">
    <w:name w:val="font61"/>
    <w:basedOn w:val="7"/>
    <w:uiPriority w:val="0"/>
    <w:rPr>
      <w:rFonts w:ascii="方正黑体_GBK" w:hAnsi="方正黑体_GBK" w:eastAsia="方正黑体_GBK" w:cs="方正黑体_GBK"/>
      <w:color w:val="000000"/>
      <w:sz w:val="24"/>
      <w:szCs w:val="24"/>
      <w:u w:val="none"/>
    </w:rPr>
  </w:style>
  <w:style w:type="character" w:customStyle="1" w:styleId="10">
    <w:name w:val="font122"/>
    <w:basedOn w:val="7"/>
    <w:uiPriority w:val="0"/>
    <w:rPr>
      <w:rFonts w:hint="eastAsia" w:ascii="宋体" w:hAnsi="宋体" w:eastAsia="宋体" w:cs="宋体"/>
      <w:color w:val="000000"/>
      <w:sz w:val="22"/>
      <w:szCs w:val="22"/>
      <w:u w:val="none"/>
    </w:rPr>
  </w:style>
  <w:style w:type="character" w:customStyle="1" w:styleId="11">
    <w:name w:val="font71"/>
    <w:basedOn w:val="7"/>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2023-07-17T04:11:00Z</dcterms:created>
  <dc:creator>日华</dc:creator>
  <cp:lastModifiedBy>日华</cp:lastModifiedBy>
  <dcterms:modified xsi:type="dcterms:W3CDTF">2023-07-17T04:12:11Z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0152FAB071A749A0B2937132D3DCC9AD_11</vt:lpwstr>
  </property>
</Properties>
</file>